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52108">
      <w:pPr>
        <w:spacing w:line="7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hint="eastAsia" w:ascii="方正小标宋简体" w:eastAsia="方正小标宋简体"/>
          <w:b/>
          <w:sz w:val="44"/>
          <w:szCs w:val="44"/>
        </w:rPr>
        <w:t>仁怀市中医院医共体</w:t>
      </w:r>
    </w:p>
    <w:p w14:paraId="6D1F825C">
      <w:pPr>
        <w:spacing w:line="700" w:lineRule="exact"/>
        <w:jc w:val="center"/>
        <w:rPr>
          <w:rFonts w:hint="default" w:ascii="方正小标宋简体" w:eastAsia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/>
          <w:sz w:val="44"/>
          <w:szCs w:val="44"/>
        </w:rPr>
        <w:t>环境自行检测外包服务</w:t>
      </w:r>
      <w:r>
        <w:rPr>
          <w:rFonts w:hint="eastAsia" w:ascii="方正小标宋简体" w:eastAsia="方正小标宋简体"/>
          <w:b/>
          <w:sz w:val="44"/>
          <w:szCs w:val="44"/>
          <w:lang w:val="en-US" w:eastAsia="zh-CN"/>
        </w:rPr>
        <w:t>采购需求</w:t>
      </w:r>
    </w:p>
    <w:p w14:paraId="5806D815">
      <w:pPr>
        <w:pStyle w:val="11"/>
        <w:shd w:val="clear" w:color="auto" w:fill="FFFFFF"/>
        <w:spacing w:before="0" w:beforeAutospacing="0" w:after="0" w:afterAutospacing="0" w:line="560" w:lineRule="exact"/>
        <w:ind w:firstLine="472" w:firstLineChars="147"/>
        <w:jc w:val="both"/>
        <w:rPr>
          <w:rFonts w:hint="eastAsia" w:ascii="仿宋_GB2312" w:hAnsi="Segoe UI" w:eastAsia="仿宋_GB2312" w:cs="Segoe UI"/>
          <w:color w:val="0F1115"/>
          <w:sz w:val="32"/>
          <w:szCs w:val="32"/>
          <w:lang w:eastAsia="zh-CN"/>
        </w:rPr>
      </w:pP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  <w:lang w:val="en-US" w:eastAsia="zh-CN"/>
        </w:rPr>
        <w:t>一、</w:t>
      </w: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</w:rPr>
        <w:t>污水及锅炉</w:t>
      </w: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  <w:lang w:val="en-US" w:eastAsia="zh-CN"/>
        </w:rPr>
        <w:t>环境</w:t>
      </w: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</w:rPr>
        <w:t>自行检测服务</w:t>
      </w: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  <w:lang w:eastAsia="zh-CN"/>
        </w:rPr>
        <w:t>：</w:t>
      </w:r>
    </w:p>
    <w:p w14:paraId="33980A44">
      <w:pPr>
        <w:pStyle w:val="11"/>
        <w:shd w:val="clear" w:color="auto" w:fill="FFFFFF"/>
        <w:spacing w:before="0" w:beforeAutospacing="0" w:after="0" w:afterAutospacing="0" w:line="560" w:lineRule="exact"/>
        <w:ind w:firstLine="630" w:firstLineChars="196"/>
        <w:jc w:val="both"/>
        <w:rPr>
          <w:rFonts w:ascii="仿宋_GB2312" w:hAnsi="Segoe UI" w:eastAsia="仿宋_GB2312" w:cs="Segoe UI"/>
          <w:color w:val="0F1115"/>
          <w:sz w:val="32"/>
          <w:szCs w:val="32"/>
        </w:rPr>
      </w:pP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</w:rPr>
        <w:t>服务范围：</w:t>
      </w:r>
      <w:r>
        <w:rPr>
          <w:rFonts w:hint="eastAsia" w:ascii="Segoe UI" w:hAnsi="Segoe UI" w:eastAsia="仿宋_GB2312" w:cs="Segoe UI"/>
          <w:color w:val="0F1115"/>
          <w:sz w:val="32"/>
          <w:szCs w:val="32"/>
        </w:rPr>
        <w:t> </w:t>
      </w:r>
      <w:r>
        <w:rPr>
          <w:rFonts w:hint="eastAsia" w:ascii="仿宋_GB2312" w:hAnsi="Segoe UI" w:eastAsia="仿宋_GB2312" w:cs="Segoe UI"/>
          <w:color w:val="0F1115"/>
          <w:sz w:val="32"/>
          <w:szCs w:val="32"/>
        </w:rPr>
        <w:t>总院及八个医共体分院的排污许可证、环评文件及环保部门要求的所有自行检测点位和项目。</w:t>
      </w:r>
    </w:p>
    <w:p w14:paraId="0FC5EB72">
      <w:pPr>
        <w:pStyle w:val="11"/>
        <w:shd w:val="clear" w:color="auto" w:fill="FFFFFF"/>
        <w:spacing w:before="0" w:beforeAutospacing="0" w:after="0" w:afterAutospacing="0" w:line="560" w:lineRule="exact"/>
        <w:ind w:firstLine="630" w:firstLineChars="196"/>
        <w:jc w:val="both"/>
        <w:rPr>
          <w:rFonts w:ascii="仿宋_GB2312" w:hAnsi="Segoe UI" w:eastAsia="仿宋_GB2312" w:cs="Segoe UI"/>
          <w:color w:val="0F1115"/>
          <w:sz w:val="32"/>
          <w:szCs w:val="32"/>
        </w:rPr>
      </w:pP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</w:rPr>
        <w:t>服务内容：</w:t>
      </w:r>
      <w:r>
        <w:rPr>
          <w:rFonts w:hint="eastAsia" w:ascii="Segoe UI" w:hAnsi="Segoe UI" w:eastAsia="仿宋_GB2312" w:cs="Segoe UI"/>
          <w:color w:val="0F1115"/>
          <w:sz w:val="32"/>
          <w:szCs w:val="32"/>
        </w:rPr>
        <w:t> </w:t>
      </w:r>
      <w:r>
        <w:rPr>
          <w:rFonts w:hint="eastAsia" w:ascii="仿宋_GB2312" w:hAnsi="Segoe UI" w:eastAsia="仿宋_GB2312" w:cs="Segoe UI"/>
          <w:color w:val="0F1115"/>
          <w:sz w:val="32"/>
          <w:szCs w:val="32"/>
        </w:rPr>
        <w:t>按照国家及地方相关技术规范和排污许可证要求，制定年度自行检测方案；定期对总院废水、锅炉及各院区的废水（处理设施进出口、总排口）、废气（有组织、无组织）、厂界噪声、污泥等指标进行现场采样及实验室检测；在规定时限内出具具有CMA资质的检测报告；协助医院在全国排污许可证管理信息平台填报相关数据；配合医院完成年度执行报告的编制。</w:t>
      </w:r>
    </w:p>
    <w:p w14:paraId="79190719">
      <w:pPr>
        <w:spacing w:line="560" w:lineRule="exact"/>
        <w:ind w:firstLine="643" w:firstLineChars="200"/>
        <w:rPr>
          <w:rFonts w:ascii="黑体" w:hAnsi="黑体" w:eastAsia="黑体"/>
          <w:b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b/>
          <w:color w:val="000000" w:themeColor="text1"/>
          <w:sz w:val="32"/>
          <w:szCs w:val="32"/>
        </w:rPr>
        <w:t>二、项目预算及费用来源</w:t>
      </w:r>
    </w:p>
    <w:p w14:paraId="67BB1C60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预算编制原则： 预算参考当前市场行情、历史运行数据、各分院床位数/门诊量预估的服务量级进行测算。因各分院规模不同，具体预算需实地调研后细化，现提供年度总预算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万元/年框架如下：</w:t>
      </w:r>
    </w:p>
    <w:p w14:paraId="4DE51D03"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127"/>
        <w:gridCol w:w="3394"/>
        <w:gridCol w:w="2071"/>
      </w:tblGrid>
      <w:tr w14:paraId="742C6B9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242" w:type="dxa"/>
            <w:vAlign w:val="center"/>
          </w:tcPr>
          <w:p w14:paraId="35C7A800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32"/>
                <w:szCs w:val="32"/>
              </w:rPr>
              <w:t>服务包名称</w:t>
            </w:r>
          </w:p>
        </w:tc>
        <w:tc>
          <w:tcPr>
            <w:tcW w:w="2127" w:type="dxa"/>
            <w:vAlign w:val="center"/>
          </w:tcPr>
          <w:p w14:paraId="07C3A33C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32"/>
                <w:szCs w:val="32"/>
              </w:rPr>
              <w:t>年度预算金额</w:t>
            </w:r>
          </w:p>
        </w:tc>
        <w:tc>
          <w:tcPr>
            <w:tcW w:w="3394" w:type="dxa"/>
            <w:vAlign w:val="center"/>
          </w:tcPr>
          <w:p w14:paraId="7998C481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32"/>
                <w:szCs w:val="32"/>
              </w:rPr>
              <w:t>测算依据说明</w:t>
            </w:r>
          </w:p>
        </w:tc>
        <w:tc>
          <w:tcPr>
            <w:tcW w:w="2071" w:type="dxa"/>
            <w:vAlign w:val="center"/>
          </w:tcPr>
          <w:p w14:paraId="74AF19B9">
            <w:pPr>
              <w:spacing w:line="560" w:lineRule="exact"/>
              <w:jc w:val="center"/>
              <w:rPr>
                <w:rFonts w:ascii="仿宋_GB2312" w:eastAsia="仿宋_GB2312"/>
                <w:b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32"/>
                <w:szCs w:val="32"/>
              </w:rPr>
              <w:t>备注</w:t>
            </w:r>
          </w:p>
        </w:tc>
      </w:tr>
      <w:tr w14:paraId="74891C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242" w:type="dxa"/>
            <w:vAlign w:val="center"/>
          </w:tcPr>
          <w:p w14:paraId="587C3FE6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2"/>
                <w:szCs w:val="32"/>
              </w:rPr>
              <w:t>自行检测服务</w:t>
            </w:r>
          </w:p>
        </w:tc>
        <w:tc>
          <w:tcPr>
            <w:tcW w:w="2127" w:type="dxa"/>
            <w:vAlign w:val="center"/>
          </w:tcPr>
          <w:p w14:paraId="1EAA98B1">
            <w:pPr>
              <w:spacing w:line="560" w:lineRule="exact"/>
              <w:jc w:val="center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color w:val="000000" w:themeColor="text1"/>
                <w:sz w:val="30"/>
                <w:szCs w:val="30"/>
              </w:rPr>
              <w:t>12万元。（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</w:rPr>
              <w:t>其中，医共体分院5.55万元，总院6.45万元</w:t>
            </w:r>
            <w:r>
              <w:rPr>
                <w:rFonts w:hint="eastAsia" w:ascii="仿宋_GB2312" w:eastAsia="仿宋_GB2312"/>
                <w:b/>
                <w:color w:val="000000" w:themeColor="text1"/>
                <w:sz w:val="30"/>
                <w:szCs w:val="30"/>
              </w:rPr>
              <w:t>）</w:t>
            </w: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</w:rPr>
              <w:t>。</w:t>
            </w:r>
          </w:p>
        </w:tc>
        <w:tc>
          <w:tcPr>
            <w:tcW w:w="3394" w:type="dxa"/>
            <w:vAlign w:val="center"/>
          </w:tcPr>
          <w:p w14:paraId="3081C670">
            <w:pPr>
              <w:spacing w:line="560" w:lineRule="exact"/>
              <w:jc w:val="left"/>
              <w:rPr>
                <w:rFonts w:ascii="仿宋_GB2312" w:eastAsia="仿宋_GB2312"/>
                <w:color w:val="000000" w:themeColor="text1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</w:rPr>
              <w:t>医共体分院预算主要以2025年检测产生的合同费用为依据，总院污水检测指标无变化，但锅炉数量增加至3台。</w:t>
            </w:r>
          </w:p>
        </w:tc>
        <w:tc>
          <w:tcPr>
            <w:tcW w:w="2071" w:type="dxa"/>
            <w:vAlign w:val="center"/>
          </w:tcPr>
          <w:p w14:paraId="16697439">
            <w:pPr>
              <w:spacing w:line="560" w:lineRule="exact"/>
              <w:jc w:val="left"/>
              <w:rPr>
                <w:rFonts w:ascii="仿宋_GB2312" w:eastAsia="仿宋_GB2312"/>
                <w:color w:val="000000" w:themeColor="text1"/>
                <w:sz w:val="30"/>
                <w:szCs w:val="30"/>
              </w:rPr>
            </w:pPr>
            <w:r>
              <w:rPr>
                <w:rFonts w:hint="eastAsia" w:ascii="仿宋_GB2312" w:eastAsia="仿宋_GB2312"/>
                <w:color w:val="000000" w:themeColor="text1"/>
                <w:sz w:val="30"/>
                <w:szCs w:val="30"/>
              </w:rPr>
              <w:t>按检测点位、频次、项目数量计费</w:t>
            </w:r>
          </w:p>
        </w:tc>
      </w:tr>
    </w:tbl>
    <w:p w14:paraId="75CA06CF">
      <w:pPr>
        <w:pStyle w:val="11"/>
        <w:shd w:val="clear" w:color="auto" w:fill="FFFFFF"/>
        <w:spacing w:before="0" w:beforeAutospacing="0" w:after="0" w:afterAutospacing="0" w:line="560" w:lineRule="exact"/>
        <w:ind w:firstLine="630" w:firstLineChars="196"/>
        <w:jc w:val="both"/>
        <w:rPr>
          <w:rFonts w:ascii="黑体" w:hAnsi="黑体" w:eastAsia="黑体" w:cs="Segoe UI"/>
          <w:color w:val="0F1115"/>
          <w:sz w:val="32"/>
          <w:szCs w:val="32"/>
        </w:rPr>
      </w:pPr>
      <w:r>
        <w:rPr>
          <w:rStyle w:val="8"/>
          <w:rFonts w:hint="eastAsia" w:ascii="黑体" w:hAnsi="黑体" w:eastAsia="黑体" w:cs="Segoe UI"/>
          <w:color w:val="0F1115"/>
          <w:sz w:val="32"/>
          <w:szCs w:val="32"/>
        </w:rPr>
        <w:t>三、费用来源</w:t>
      </w:r>
    </w:p>
    <w:p w14:paraId="14C6187C">
      <w:pPr>
        <w:pStyle w:val="11"/>
        <w:shd w:val="clear" w:color="auto" w:fill="FFFFFF"/>
        <w:spacing w:before="0" w:beforeAutospacing="0" w:after="0" w:afterAutospacing="0" w:line="560" w:lineRule="exact"/>
        <w:ind w:firstLine="630" w:firstLineChars="196"/>
        <w:jc w:val="both"/>
        <w:rPr>
          <w:rFonts w:ascii="仿宋_GB2312" w:hAnsi="Segoe UI" w:eastAsia="仿宋_GB2312" w:cs="Segoe UI"/>
          <w:color w:val="0F1115"/>
          <w:sz w:val="32"/>
          <w:szCs w:val="32"/>
        </w:rPr>
      </w:pP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</w:rPr>
        <w:t>总院部分：</w:t>
      </w:r>
      <w:r>
        <w:rPr>
          <w:rFonts w:hint="eastAsia" w:ascii="仿宋_GB2312" w:hAnsi="Segoe UI" w:eastAsia="仿宋_GB2312" w:cs="Segoe UI"/>
          <w:color w:val="0F1115"/>
          <w:sz w:val="32"/>
          <w:szCs w:val="32"/>
        </w:rPr>
        <w:t>纳入医院年度运行维护预算，从“后勤保障/环保运行”等相关经费项目中列支。</w:t>
      </w:r>
    </w:p>
    <w:p w14:paraId="453CDB12">
      <w:pPr>
        <w:pStyle w:val="11"/>
        <w:shd w:val="clear" w:color="auto" w:fill="FFFFFF"/>
        <w:spacing w:before="0" w:beforeAutospacing="0" w:after="0" w:afterAutospacing="0" w:line="560" w:lineRule="exact"/>
        <w:ind w:firstLine="630" w:firstLineChars="196"/>
        <w:jc w:val="both"/>
        <w:rPr>
          <w:rFonts w:ascii="仿宋_GB2312" w:hAnsi="Segoe UI" w:eastAsia="仿宋_GB2312" w:cs="Segoe UI"/>
          <w:color w:val="0F1115"/>
          <w:sz w:val="32"/>
          <w:szCs w:val="32"/>
        </w:rPr>
      </w:pPr>
      <w:r>
        <w:rPr>
          <w:rStyle w:val="8"/>
          <w:rFonts w:hint="eastAsia" w:ascii="仿宋_GB2312" w:hAnsi="Segoe UI" w:eastAsia="仿宋_GB2312" w:cs="Segoe UI"/>
          <w:color w:val="0F1115"/>
          <w:sz w:val="32"/>
          <w:szCs w:val="32"/>
        </w:rPr>
        <w:t>八个分院部分：</w:t>
      </w:r>
      <w:r>
        <w:rPr>
          <w:rFonts w:hint="eastAsia" w:ascii="仿宋_GB2312" w:hAnsi="Segoe UI" w:eastAsia="仿宋_GB2312" w:cs="Segoe UI"/>
          <w:color w:val="0F1115"/>
          <w:sz w:val="32"/>
          <w:szCs w:val="32"/>
        </w:rPr>
        <w:t>由各分院自行承担其份额，纳入各自年度预算。</w:t>
      </w:r>
    </w:p>
    <w:p w14:paraId="44AF8F85">
      <w:pPr>
        <w:spacing w:line="560" w:lineRule="exact"/>
        <w:ind w:firstLine="643" w:firstLineChars="200"/>
        <w:rPr>
          <w:rFonts w:ascii="黑体" w:hAnsi="黑体" w:eastAsia="黑体"/>
          <w:b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b/>
          <w:color w:val="000000" w:themeColor="text1"/>
          <w:sz w:val="32"/>
          <w:szCs w:val="32"/>
        </w:rPr>
        <w:t>四、 结算方式</w:t>
      </w:r>
    </w:p>
    <w:p w14:paraId="21FC1675">
      <w:pPr>
        <w:spacing w:line="560" w:lineRule="exact"/>
        <w:ind w:firstLine="643" w:firstLineChars="20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b/>
          <w:color w:val="000000" w:themeColor="text1"/>
          <w:sz w:val="32"/>
          <w:szCs w:val="32"/>
        </w:rPr>
        <w:t>自行检测服务包：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按年度合同总额分次支付。每半年或季度按已完成检测任务及提交报告的情况支付相应进度款，年度全部检测任务完成并提交年度分析报告后支付剩余尾款。</w:t>
      </w:r>
    </w:p>
    <w:p w14:paraId="4BCFEB2A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附：总院及医共体分院医疗废水废物及自行检测费用预算表</w:t>
      </w:r>
    </w:p>
    <w:p w14:paraId="76C8C4E5">
      <w:pPr>
        <w:rPr>
          <w:rFonts w:ascii="仿宋_GB2312" w:eastAsia="仿宋_GB2312"/>
          <w:sz w:val="32"/>
          <w:szCs w:val="32"/>
        </w:rPr>
      </w:pPr>
    </w:p>
    <w:p w14:paraId="6C4B2645">
      <w:pPr>
        <w:jc w:val="center"/>
        <w:rPr>
          <w:rFonts w:ascii="方正小标宋简体" w:eastAsia="方正小标宋简体"/>
          <w:b/>
          <w:sz w:val="32"/>
          <w:szCs w:val="32"/>
        </w:rPr>
      </w:pPr>
      <w:r>
        <w:rPr>
          <w:rFonts w:hint="eastAsia" w:ascii="方正小标宋简体" w:eastAsia="方正小标宋简体"/>
          <w:b/>
          <w:color w:val="000000" w:themeColor="text1"/>
          <w:sz w:val="32"/>
          <w:szCs w:val="32"/>
        </w:rPr>
        <w:t>总院及医共体分院环境自行检测外包费用预算表</w:t>
      </w:r>
    </w:p>
    <w:tbl>
      <w:tblPr>
        <w:tblStyle w:val="6"/>
        <w:tblW w:w="882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735"/>
        <w:gridCol w:w="2005"/>
        <w:gridCol w:w="2845"/>
      </w:tblGrid>
      <w:tr w14:paraId="57A984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2235" w:type="dxa"/>
            <w:vAlign w:val="center"/>
          </w:tcPr>
          <w:p w14:paraId="1184B161">
            <w:pPr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单位</w:t>
            </w:r>
          </w:p>
        </w:tc>
        <w:tc>
          <w:tcPr>
            <w:tcW w:w="1735" w:type="dxa"/>
            <w:vAlign w:val="center"/>
          </w:tcPr>
          <w:p w14:paraId="6354128F">
            <w:pPr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检测频次</w:t>
            </w:r>
          </w:p>
        </w:tc>
        <w:tc>
          <w:tcPr>
            <w:tcW w:w="2005" w:type="dxa"/>
            <w:vAlign w:val="center"/>
          </w:tcPr>
          <w:p w14:paraId="4E4F2198">
            <w:pPr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检测费用</w:t>
            </w:r>
          </w:p>
          <w:p w14:paraId="410B6617">
            <w:pPr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（12万元）</w:t>
            </w:r>
          </w:p>
        </w:tc>
        <w:tc>
          <w:tcPr>
            <w:tcW w:w="0" w:type="auto"/>
            <w:vAlign w:val="center"/>
          </w:tcPr>
          <w:p w14:paraId="28BCFFC2">
            <w:pPr>
              <w:jc w:val="center"/>
              <w:rPr>
                <w:rFonts w:ascii="仿宋_GB2312" w:hAnsi="宋体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b/>
                <w:sz w:val="30"/>
                <w:szCs w:val="30"/>
              </w:rPr>
              <w:t>备注</w:t>
            </w:r>
          </w:p>
        </w:tc>
      </w:tr>
      <w:tr w14:paraId="2AAB85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235" w:type="dxa"/>
            <w:vAlign w:val="center"/>
          </w:tcPr>
          <w:p w14:paraId="49894C7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仁怀市中医院</w:t>
            </w:r>
          </w:p>
        </w:tc>
        <w:tc>
          <w:tcPr>
            <w:tcW w:w="1735" w:type="dxa"/>
            <w:vAlign w:val="center"/>
          </w:tcPr>
          <w:p w14:paraId="58F148B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周检、月检、季检</w:t>
            </w:r>
          </w:p>
        </w:tc>
        <w:tc>
          <w:tcPr>
            <w:tcW w:w="2005" w:type="dxa"/>
            <w:vAlign w:val="center"/>
          </w:tcPr>
          <w:p w14:paraId="765E5C75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6.45</w:t>
            </w:r>
          </w:p>
        </w:tc>
        <w:tc>
          <w:tcPr>
            <w:tcW w:w="0" w:type="auto"/>
            <w:vAlign w:val="center"/>
          </w:tcPr>
          <w:p w14:paraId="6116439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按新址实际预算</w:t>
            </w:r>
          </w:p>
          <w:p w14:paraId="0C90AAA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（废水和锅炉）</w:t>
            </w:r>
          </w:p>
        </w:tc>
      </w:tr>
      <w:tr w14:paraId="09CFFB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235" w:type="dxa"/>
            <w:vAlign w:val="center"/>
          </w:tcPr>
          <w:p w14:paraId="5625C32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火石镇卫生院</w:t>
            </w:r>
          </w:p>
        </w:tc>
        <w:tc>
          <w:tcPr>
            <w:tcW w:w="1735" w:type="dxa"/>
            <w:vAlign w:val="center"/>
          </w:tcPr>
          <w:p w14:paraId="427750E1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211BF70F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1.5</w:t>
            </w:r>
          </w:p>
        </w:tc>
        <w:tc>
          <w:tcPr>
            <w:tcW w:w="0" w:type="auto"/>
            <w:vAlign w:val="center"/>
          </w:tcPr>
          <w:p w14:paraId="7D324234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根据2025年度数据统计，另有2个分院</w:t>
            </w:r>
          </w:p>
        </w:tc>
      </w:tr>
      <w:tr w14:paraId="198054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2235" w:type="dxa"/>
            <w:vAlign w:val="center"/>
          </w:tcPr>
          <w:p w14:paraId="4F26352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三合镇卫生院</w:t>
            </w:r>
          </w:p>
        </w:tc>
        <w:tc>
          <w:tcPr>
            <w:tcW w:w="1735" w:type="dxa"/>
            <w:vAlign w:val="center"/>
          </w:tcPr>
          <w:p w14:paraId="46BE4A41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4620FDA6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0.5</w:t>
            </w:r>
          </w:p>
        </w:tc>
        <w:tc>
          <w:tcPr>
            <w:tcW w:w="0" w:type="auto"/>
            <w:vAlign w:val="center"/>
          </w:tcPr>
          <w:p w14:paraId="69B4213E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</w:t>
            </w:r>
          </w:p>
        </w:tc>
      </w:tr>
      <w:tr w14:paraId="1C6809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235" w:type="dxa"/>
            <w:vAlign w:val="center"/>
          </w:tcPr>
          <w:p w14:paraId="25BFF11D">
            <w:pPr>
              <w:jc w:val="center"/>
              <w:rPr>
                <w:rFonts w:ascii="仿宋_GB2312" w:hAnsi="微软雅黑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8"/>
                <w:szCs w:val="28"/>
              </w:rPr>
              <w:t>长岗镇卫生院</w:t>
            </w:r>
          </w:p>
        </w:tc>
        <w:tc>
          <w:tcPr>
            <w:tcW w:w="1735" w:type="dxa"/>
            <w:vAlign w:val="center"/>
          </w:tcPr>
          <w:p w14:paraId="31CABE0F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1266AFFC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0.5</w:t>
            </w:r>
          </w:p>
        </w:tc>
        <w:tc>
          <w:tcPr>
            <w:tcW w:w="0" w:type="auto"/>
            <w:vAlign w:val="center"/>
          </w:tcPr>
          <w:p w14:paraId="104BFC33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</w:t>
            </w:r>
          </w:p>
        </w:tc>
      </w:tr>
      <w:tr w14:paraId="73D9CA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235" w:type="dxa"/>
            <w:vAlign w:val="center"/>
          </w:tcPr>
          <w:p w14:paraId="36C1A5BB">
            <w:pPr>
              <w:jc w:val="center"/>
              <w:rPr>
                <w:rFonts w:ascii="仿宋_GB2312" w:hAnsi="微软雅黑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8"/>
                <w:szCs w:val="28"/>
              </w:rPr>
              <w:t>高大坪镇卫生院</w:t>
            </w:r>
          </w:p>
        </w:tc>
        <w:tc>
          <w:tcPr>
            <w:tcW w:w="1735" w:type="dxa"/>
            <w:vAlign w:val="center"/>
          </w:tcPr>
          <w:p w14:paraId="3588122C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100CF711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0.55</w:t>
            </w:r>
          </w:p>
        </w:tc>
        <w:tc>
          <w:tcPr>
            <w:tcW w:w="0" w:type="auto"/>
            <w:vAlign w:val="center"/>
          </w:tcPr>
          <w:p w14:paraId="6F85AC84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</w:t>
            </w:r>
          </w:p>
        </w:tc>
      </w:tr>
      <w:tr w14:paraId="1718F0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235" w:type="dxa"/>
            <w:vAlign w:val="center"/>
          </w:tcPr>
          <w:p w14:paraId="4457BD84">
            <w:pPr>
              <w:jc w:val="center"/>
              <w:rPr>
                <w:rFonts w:ascii="仿宋_GB2312" w:hAnsi="微软雅黑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8"/>
                <w:szCs w:val="28"/>
              </w:rPr>
              <w:t>学孔镇卫生院</w:t>
            </w:r>
          </w:p>
        </w:tc>
        <w:tc>
          <w:tcPr>
            <w:tcW w:w="1735" w:type="dxa"/>
            <w:vAlign w:val="center"/>
          </w:tcPr>
          <w:p w14:paraId="56068EAA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4E238ED3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0.5</w:t>
            </w:r>
          </w:p>
        </w:tc>
        <w:tc>
          <w:tcPr>
            <w:tcW w:w="0" w:type="auto"/>
            <w:vAlign w:val="center"/>
          </w:tcPr>
          <w:p w14:paraId="7440C08F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</w:t>
            </w:r>
          </w:p>
        </w:tc>
      </w:tr>
      <w:tr w14:paraId="50D8BF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235" w:type="dxa"/>
            <w:vAlign w:val="center"/>
          </w:tcPr>
          <w:p w14:paraId="3C47F67C">
            <w:pPr>
              <w:jc w:val="center"/>
              <w:rPr>
                <w:rFonts w:ascii="仿宋_GB2312" w:hAnsi="微软雅黑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8"/>
                <w:szCs w:val="28"/>
              </w:rPr>
              <w:t>喜头镇卫生院</w:t>
            </w:r>
          </w:p>
        </w:tc>
        <w:tc>
          <w:tcPr>
            <w:tcW w:w="1735" w:type="dxa"/>
            <w:vAlign w:val="center"/>
          </w:tcPr>
          <w:p w14:paraId="027248F3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3B54D830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1</w:t>
            </w:r>
          </w:p>
        </w:tc>
        <w:tc>
          <w:tcPr>
            <w:tcW w:w="0" w:type="auto"/>
            <w:vAlign w:val="center"/>
          </w:tcPr>
          <w:p w14:paraId="5AF14F15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根据2025年度数据统计，另有一个分院</w:t>
            </w:r>
          </w:p>
        </w:tc>
      </w:tr>
      <w:tr w14:paraId="05FF80E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235" w:type="dxa"/>
            <w:vAlign w:val="center"/>
          </w:tcPr>
          <w:p w14:paraId="2ACD71B7">
            <w:pPr>
              <w:jc w:val="center"/>
              <w:rPr>
                <w:rFonts w:ascii="仿宋_GB2312" w:hAnsi="微软雅黑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8"/>
                <w:szCs w:val="28"/>
              </w:rPr>
              <w:t>中枢街道社区卫生服务中心</w:t>
            </w:r>
          </w:p>
        </w:tc>
        <w:tc>
          <w:tcPr>
            <w:tcW w:w="1735" w:type="dxa"/>
            <w:vAlign w:val="center"/>
          </w:tcPr>
          <w:p w14:paraId="28763DFB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7CE9C6F4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0.5</w:t>
            </w:r>
          </w:p>
        </w:tc>
        <w:tc>
          <w:tcPr>
            <w:tcW w:w="0" w:type="auto"/>
            <w:vAlign w:val="center"/>
          </w:tcPr>
          <w:p w14:paraId="70CB6EBC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</w:t>
            </w:r>
          </w:p>
        </w:tc>
      </w:tr>
      <w:tr w14:paraId="0B256C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235" w:type="dxa"/>
            <w:vAlign w:val="center"/>
          </w:tcPr>
          <w:p w14:paraId="715C560A">
            <w:pPr>
              <w:jc w:val="center"/>
              <w:rPr>
                <w:rFonts w:ascii="仿宋_GB2312" w:hAnsi="微软雅黑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8"/>
                <w:szCs w:val="28"/>
              </w:rPr>
              <w:t>苍龙街道社区卫生服务中心</w:t>
            </w:r>
          </w:p>
        </w:tc>
        <w:tc>
          <w:tcPr>
            <w:tcW w:w="1735" w:type="dxa"/>
            <w:vAlign w:val="center"/>
          </w:tcPr>
          <w:p w14:paraId="4DE0B747">
            <w:pPr>
              <w:jc w:val="center"/>
            </w:pPr>
            <w:r>
              <w:rPr>
                <w:rFonts w:hint="eastAsia" w:ascii="仿宋_GB2312" w:eastAsia="仿宋_GB2312"/>
                <w:sz w:val="28"/>
                <w:szCs w:val="28"/>
              </w:rPr>
              <w:t>季检</w:t>
            </w:r>
          </w:p>
        </w:tc>
        <w:tc>
          <w:tcPr>
            <w:tcW w:w="2005" w:type="dxa"/>
            <w:vAlign w:val="center"/>
          </w:tcPr>
          <w:p w14:paraId="76F0BE86">
            <w:pPr>
              <w:jc w:val="center"/>
              <w:rPr>
                <w:rFonts w:ascii="仿宋_GB2312" w:hAnsi="微软雅黑" w:eastAsia="仿宋_GB2312" w:cs="宋体"/>
                <w:color w:val="000000"/>
                <w:sz w:val="22"/>
              </w:rPr>
            </w:pPr>
            <w:r>
              <w:rPr>
                <w:rFonts w:hint="eastAsia" w:ascii="仿宋_GB2312" w:hAnsi="微软雅黑" w:eastAsia="仿宋_GB2312"/>
                <w:color w:val="000000"/>
                <w:sz w:val="22"/>
              </w:rPr>
              <w:t>0.5</w:t>
            </w:r>
          </w:p>
        </w:tc>
        <w:tc>
          <w:tcPr>
            <w:tcW w:w="0" w:type="auto"/>
            <w:vAlign w:val="center"/>
          </w:tcPr>
          <w:p w14:paraId="3761CF19">
            <w:pPr>
              <w:jc w:val="left"/>
              <w:rPr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根据2025年度数据统计</w:t>
            </w:r>
          </w:p>
        </w:tc>
      </w:tr>
    </w:tbl>
    <w:p w14:paraId="3BC743F8">
      <w:pPr>
        <w:spacing w:line="360" w:lineRule="auto"/>
        <w:ind w:firstLine="480" w:firstLineChars="200"/>
        <w:rPr>
          <w:rFonts w:hint="default" w:eastAsia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eastAsia="宋体"/>
          <w:color w:val="auto"/>
          <w:sz w:val="24"/>
          <w:szCs w:val="24"/>
          <w:highlight w:val="none"/>
          <w:lang w:val="en-US" w:eastAsia="zh-CN"/>
        </w:rPr>
        <w:t xml:space="preserve">                            </w:t>
      </w:r>
      <w:bookmarkStart w:id="0" w:name="_GoBack"/>
      <w:bookmarkEnd w:id="0"/>
    </w:p>
    <w:p w14:paraId="25EDF516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247" w:right="1644" w:bottom="124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A07CF"/>
    <w:rsid w:val="000008A9"/>
    <w:rsid w:val="00030B24"/>
    <w:rsid w:val="00050970"/>
    <w:rsid w:val="00075828"/>
    <w:rsid w:val="0009353F"/>
    <w:rsid w:val="0009575D"/>
    <w:rsid w:val="00097E76"/>
    <w:rsid w:val="000A17A4"/>
    <w:rsid w:val="000E0F61"/>
    <w:rsid w:val="000E2A4C"/>
    <w:rsid w:val="000F5873"/>
    <w:rsid w:val="00105183"/>
    <w:rsid w:val="00124440"/>
    <w:rsid w:val="00133002"/>
    <w:rsid w:val="001668F3"/>
    <w:rsid w:val="00194ABB"/>
    <w:rsid w:val="001B61C7"/>
    <w:rsid w:val="001C140D"/>
    <w:rsid w:val="001D4031"/>
    <w:rsid w:val="001F6CCB"/>
    <w:rsid w:val="0027125A"/>
    <w:rsid w:val="00294688"/>
    <w:rsid w:val="00297CE6"/>
    <w:rsid w:val="00315B9C"/>
    <w:rsid w:val="0032635E"/>
    <w:rsid w:val="003267C2"/>
    <w:rsid w:val="00333258"/>
    <w:rsid w:val="00337626"/>
    <w:rsid w:val="00367E8D"/>
    <w:rsid w:val="003B4729"/>
    <w:rsid w:val="003F4B14"/>
    <w:rsid w:val="0043050A"/>
    <w:rsid w:val="004337C9"/>
    <w:rsid w:val="00480278"/>
    <w:rsid w:val="004844F5"/>
    <w:rsid w:val="004874F7"/>
    <w:rsid w:val="004A4B9E"/>
    <w:rsid w:val="0056404F"/>
    <w:rsid w:val="005A10B8"/>
    <w:rsid w:val="005F02DF"/>
    <w:rsid w:val="005F6506"/>
    <w:rsid w:val="0060769A"/>
    <w:rsid w:val="006178D1"/>
    <w:rsid w:val="00622CE0"/>
    <w:rsid w:val="006272B7"/>
    <w:rsid w:val="00636C77"/>
    <w:rsid w:val="00637E9C"/>
    <w:rsid w:val="00667DCA"/>
    <w:rsid w:val="00674622"/>
    <w:rsid w:val="006837F3"/>
    <w:rsid w:val="00696F3D"/>
    <w:rsid w:val="006A5BC8"/>
    <w:rsid w:val="006B3B2F"/>
    <w:rsid w:val="00772687"/>
    <w:rsid w:val="007771B5"/>
    <w:rsid w:val="00790113"/>
    <w:rsid w:val="007A07CF"/>
    <w:rsid w:val="007A577C"/>
    <w:rsid w:val="007B2F28"/>
    <w:rsid w:val="007B51CB"/>
    <w:rsid w:val="00824C5F"/>
    <w:rsid w:val="008567A9"/>
    <w:rsid w:val="008907B2"/>
    <w:rsid w:val="008C4883"/>
    <w:rsid w:val="0090268C"/>
    <w:rsid w:val="009060FA"/>
    <w:rsid w:val="0090651E"/>
    <w:rsid w:val="00932910"/>
    <w:rsid w:val="00950C1E"/>
    <w:rsid w:val="00966293"/>
    <w:rsid w:val="00983A36"/>
    <w:rsid w:val="00995DB9"/>
    <w:rsid w:val="009A21AA"/>
    <w:rsid w:val="009B66D9"/>
    <w:rsid w:val="009C3753"/>
    <w:rsid w:val="00A16581"/>
    <w:rsid w:val="00A31EBB"/>
    <w:rsid w:val="00A35848"/>
    <w:rsid w:val="00A527A7"/>
    <w:rsid w:val="00A553E8"/>
    <w:rsid w:val="00A70B38"/>
    <w:rsid w:val="00A71B30"/>
    <w:rsid w:val="00A92167"/>
    <w:rsid w:val="00A97D2C"/>
    <w:rsid w:val="00AA4CB4"/>
    <w:rsid w:val="00AC1DF5"/>
    <w:rsid w:val="00AC2E59"/>
    <w:rsid w:val="00AF3C87"/>
    <w:rsid w:val="00B0021A"/>
    <w:rsid w:val="00B16EDC"/>
    <w:rsid w:val="00B47112"/>
    <w:rsid w:val="00B9273F"/>
    <w:rsid w:val="00B94295"/>
    <w:rsid w:val="00BA2521"/>
    <w:rsid w:val="00BA4DDE"/>
    <w:rsid w:val="00BC0DEB"/>
    <w:rsid w:val="00BE1793"/>
    <w:rsid w:val="00BE470D"/>
    <w:rsid w:val="00C41834"/>
    <w:rsid w:val="00C52513"/>
    <w:rsid w:val="00C72E1B"/>
    <w:rsid w:val="00C74C75"/>
    <w:rsid w:val="00C9319B"/>
    <w:rsid w:val="00C96D54"/>
    <w:rsid w:val="00CB046F"/>
    <w:rsid w:val="00CE6378"/>
    <w:rsid w:val="00CF6810"/>
    <w:rsid w:val="00D44B14"/>
    <w:rsid w:val="00D61336"/>
    <w:rsid w:val="00D901D5"/>
    <w:rsid w:val="00DE6AE7"/>
    <w:rsid w:val="00E107CD"/>
    <w:rsid w:val="00E255E6"/>
    <w:rsid w:val="00E30AA5"/>
    <w:rsid w:val="00E94AA5"/>
    <w:rsid w:val="00EA3460"/>
    <w:rsid w:val="00EA4151"/>
    <w:rsid w:val="00EF571C"/>
    <w:rsid w:val="00F006E4"/>
    <w:rsid w:val="00F134E1"/>
    <w:rsid w:val="00F60329"/>
    <w:rsid w:val="00F955C6"/>
    <w:rsid w:val="00FB4110"/>
    <w:rsid w:val="00FE7AF3"/>
    <w:rsid w:val="090D31A2"/>
    <w:rsid w:val="1F6D49F4"/>
    <w:rsid w:val="318D6246"/>
    <w:rsid w:val="432153E6"/>
    <w:rsid w:val="5B3B198D"/>
    <w:rsid w:val="71500047"/>
    <w:rsid w:val="725D55F1"/>
    <w:rsid w:val="7525046A"/>
    <w:rsid w:val="753050B7"/>
    <w:rsid w:val="7E566B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1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720</Words>
  <Characters>745</Characters>
  <Lines>21</Lines>
  <Paragraphs>6</Paragraphs>
  <TotalTime>4</TotalTime>
  <ScaleCrop>false</ScaleCrop>
  <LinksUpToDate>false</LinksUpToDate>
  <CharactersWithSpaces>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2026-05-15T00:09:00Z</dcterms:created>
  <dc:creator>China</dc:creator>
  <cp:lastModifiedBy>姣姣</cp:lastModifiedBy>
  <cp:lastPrinted>2026-04-20T07:40:00Z</cp:lastPrinted>
  <dcterms:modified xsi:type="dcterms:W3CDTF">2026-09-30T03:53:03Z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eyJoZGlkIjoiNjM5OTczNTIxY2MzNTdmZTdiYmIwY2YyMmY3ZGU5MzQiLCJ1c2VySWQiOiI0MzA2NzE4NDQifQ==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34029D8F427D4435BE1740668A09273C_12</vt:lpwstr>
  </property>
</Properties>
</file>